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ascii="黑体" w:hAnsi="黑体" w:eastAsia="黑体" w:cs="宋体"/>
          <w:color w:val="333333"/>
          <w:sz w:val="32"/>
          <w:szCs w:val="32"/>
          <w:lang w:bidi="ar"/>
        </w:rPr>
      </w:pPr>
      <w:r>
        <w:rPr>
          <w:rFonts w:hint="eastAsia" w:ascii="黑体" w:hAnsi="黑体" w:eastAsia="黑体" w:cs="宋体"/>
          <w:color w:val="333333"/>
          <w:sz w:val="32"/>
          <w:szCs w:val="32"/>
          <w:lang w:bidi="ar"/>
        </w:rPr>
        <w:t>附件4：</w:t>
      </w: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部门单位整体支出绩效</w:t>
      </w: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Fonts w:hint="eastAsia" w:ascii="仿宋_GB2312" w:hAnsi="宋体" w:eastAsia="仿宋_GB2312"/>
          <w:b/>
          <w:sz w:val="32"/>
          <w:szCs w:val="32"/>
        </w:rPr>
        <w:t>2023</w:t>
      </w:r>
      <w:r>
        <w:rPr>
          <w:rFonts w:hint="eastAsia" w:hAnsi="宋体" w:eastAsia="仿宋_GB2312" w:cs="宋体"/>
          <w:kern w:val="0"/>
          <w:sz w:val="36"/>
          <w:szCs w:val="36"/>
        </w:rPr>
        <w:t>年度）</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spacing w:line="540" w:lineRule="exact"/>
        <w:ind w:firstLine="720" w:firstLineChars="200"/>
        <w:rPr>
          <w:rFonts w:hAnsi="宋体" w:eastAsia="仿宋_GB2312" w:cs="宋体"/>
          <w:kern w:val="0"/>
          <w:sz w:val="44"/>
          <w:szCs w:val="44"/>
        </w:rPr>
      </w:pPr>
      <w:r>
        <w:rPr>
          <w:rFonts w:hint="eastAsia" w:hAnsi="宋体" w:eastAsia="仿宋_GB2312" w:cs="宋体"/>
          <w:kern w:val="0"/>
          <w:sz w:val="36"/>
          <w:szCs w:val="36"/>
        </w:rPr>
        <w:t>部门单位名称（公章）</w:t>
      </w:r>
      <w:r>
        <w:rPr>
          <w:rFonts w:hint="eastAsia" w:ascii="仿宋" w:hAnsi="仿宋" w:eastAsia="仿宋" w:cs="仿宋"/>
          <w:kern w:val="0"/>
          <w:sz w:val="44"/>
          <w:szCs w:val="44"/>
        </w:rPr>
        <w:t>：</w:t>
      </w:r>
      <w:r>
        <w:rPr>
          <w:rStyle w:val="6"/>
          <w:rFonts w:hint="eastAsia" w:ascii="仿宋" w:hAnsi="仿宋" w:eastAsia="仿宋" w:cs="仿宋"/>
          <w:b w:val="0"/>
          <w:bCs w:val="0"/>
          <w:spacing w:val="-4"/>
          <w:sz w:val="44"/>
          <w:szCs w:val="44"/>
        </w:rPr>
        <w:t>新疆维吾尔自治区社会科学界联合会</w:t>
      </w:r>
    </w:p>
    <w:p>
      <w:pPr>
        <w:spacing w:line="540" w:lineRule="exact"/>
        <w:ind w:firstLine="720" w:firstLineChars="200"/>
        <w:rPr>
          <w:rFonts w:ascii="仿宋" w:hAnsi="仿宋" w:eastAsia="仿宋" w:cs="仿宋"/>
          <w:kern w:val="0"/>
          <w:sz w:val="44"/>
          <w:szCs w:val="44"/>
        </w:rPr>
      </w:pPr>
      <w:r>
        <w:rPr>
          <w:rFonts w:hint="eastAsia" w:hAnsi="宋体" w:eastAsia="仿宋_GB2312" w:cs="宋体"/>
          <w:kern w:val="0"/>
          <w:sz w:val="36"/>
          <w:szCs w:val="36"/>
        </w:rPr>
        <w:t>填报时间：</w:t>
      </w:r>
      <w:r>
        <w:rPr>
          <w:rStyle w:val="6"/>
          <w:rFonts w:hint="eastAsia" w:ascii="仿宋" w:hAnsi="仿宋" w:eastAsia="仿宋" w:cs="仿宋"/>
          <w:b w:val="0"/>
          <w:bCs w:val="0"/>
          <w:spacing w:val="-4"/>
          <w:sz w:val="44"/>
          <w:szCs w:val="44"/>
        </w:rPr>
        <w:t>2024年03月29日</w:t>
      </w:r>
    </w:p>
    <w:p>
      <w:pPr>
        <w:spacing w:line="700" w:lineRule="exact"/>
        <w:jc w:val="left"/>
        <w:rPr>
          <w:rFonts w:hAnsi="宋体" w:eastAsia="仿宋_GB2312" w:cs="宋体"/>
          <w:kern w:val="0"/>
          <w:sz w:val="36"/>
          <w:szCs w:val="36"/>
        </w:rPr>
      </w:pPr>
    </w:p>
    <w:p>
      <w:pPr>
        <w:spacing w:line="700" w:lineRule="exact"/>
        <w:jc w:val="left"/>
        <w:rPr>
          <w:rFonts w:hAnsi="宋体" w:eastAsia="仿宋_GB2312" w:cs="宋体"/>
          <w:kern w:val="0"/>
          <w:sz w:val="36"/>
          <w:szCs w:val="36"/>
        </w:rPr>
      </w:pP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基本概况：</w:t>
      </w:r>
    </w:p>
    <w:p>
      <w:pPr>
        <w:spacing w:line="600" w:lineRule="exact"/>
        <w:ind w:firstLine="964" w:firstLineChars="300"/>
        <w:jc w:val="left"/>
        <w:rPr>
          <w:rFonts w:hint="eastAsia" w:ascii="Arial" w:hAnsi="Arial" w:cs="Arial"/>
          <w:b/>
          <w:bCs/>
          <w:color w:val="333333"/>
          <w:sz w:val="30"/>
          <w:szCs w:val="30"/>
        </w:rPr>
      </w:pPr>
      <w:r>
        <w:rPr>
          <w:rFonts w:hint="eastAsia" w:ascii="黑体" w:hAnsi="黑体" w:eastAsia="黑体" w:cs="宋体"/>
          <w:b/>
          <w:color w:val="000000" w:themeColor="text1"/>
          <w:sz w:val="32"/>
          <w:szCs w:val="32"/>
          <w:lang w:bidi="ar"/>
          <w14:textFill>
            <w14:solidFill>
              <w14:schemeClr w14:val="tx1"/>
            </w14:solidFill>
          </w14:textFill>
        </w:rPr>
        <w:t>（一）</w:t>
      </w:r>
      <w:r>
        <w:rPr>
          <w:rFonts w:ascii="黑体" w:hAnsi="黑体" w:eastAsia="黑体" w:cs="宋体"/>
          <w:b/>
          <w:color w:val="000000" w:themeColor="text1"/>
          <w:sz w:val="32"/>
          <w:szCs w:val="32"/>
          <w:lang w:bidi="ar"/>
          <w14:textFill>
            <w14:solidFill>
              <w14:schemeClr w14:val="tx1"/>
            </w14:solidFill>
          </w14:textFill>
        </w:rPr>
        <w:t>部门单位基本情况</w:t>
      </w:r>
      <w:r>
        <w:rPr>
          <w:rFonts w:hint="eastAsia" w:ascii="Arial" w:hAnsi="Arial" w:cs="Arial"/>
          <w:b/>
          <w:bCs/>
          <w:color w:val="333333"/>
          <w:sz w:val="30"/>
          <w:szCs w:val="30"/>
        </w:rPr>
        <w:t>：</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 xml:space="preserve"> 自治区社科联是自治区党委领导下的学术性群众团体，是代表自治区党委、政府联系全区哲学社会科学工作者的桥梁和纽带。主要职责是联系团结全区哲学社会科学“五路大军”（高校、党校系统、社科院及各科研院所、部队及兵团院校、党政部门研究机构），做好“四个服务”（为哲学社会科学工作者服务，为新时代党的治疆方略服务，为提高全民人文社会科学素质服务，为党和政府决策服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自治区社科联无下属预算单位，第六届委员会设有主席1名、专职副主席4名、兼职副主席6名、常委27名，共有委员181名。内设机构有办公室、机关党委（组织人事部)、学会部（民办社科部）、科普部、评奖办5个部室和治疆方略理论与实践研究中心、《新疆社科论坛》杂志社2个事业单位。核定编制57个，其中行政编制33名（含5名工勤编制）、事业编制24人。实有人员46人，其中：在职人员46人，退休40人，离休1人。</w:t>
      </w:r>
      <w:bookmarkStart w:id="0" w:name="_Hlk43849111"/>
      <w:bookmarkEnd w:id="0"/>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（二）</w:t>
      </w:r>
      <w:r>
        <w:rPr>
          <w:rFonts w:ascii="黑体" w:hAnsi="黑体" w:eastAsia="黑体" w:cs="宋体"/>
          <w:b/>
          <w:color w:val="000000" w:themeColor="text1"/>
          <w:sz w:val="32"/>
          <w:szCs w:val="32"/>
          <w:lang w:bidi="ar"/>
          <w14:textFill>
            <w14:solidFill>
              <w14:schemeClr w14:val="tx1"/>
            </w14:solidFill>
          </w14:textFill>
        </w:rPr>
        <w:t>部门单位年度重点工作：</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以来，自治区社科联坚持以习近平新时代中国特色社会主义思想为指导，在自治区党委的坚强领导下，全区哲学社会科学界按照党中央繁荣发展哲学社会科学的重大决策和自治区党委部署要求，围绕中心、服务大局，自觉承担起举旗帜、聚民心、育新人、兴文化、展形象的使命任务，认真履行“桥梁纽带、组织协调、咨询服务、宣传普及”职责，充分发挥哲学社会科学“认识世界、传承文明、创新理论、资政育人、服务社会”作用，积极为自治区党委、政府建言献策，当好“思想库”“智囊团”，</w:t>
      </w:r>
      <w:bookmarkStart w:id="1" w:name="_GoBack"/>
      <w:bookmarkEnd w:id="1"/>
      <w:r>
        <w:rPr>
          <w:rFonts w:hint="eastAsia" w:ascii="仿宋_GB2312" w:hAnsi="宋体" w:eastAsia="仿宋_GB2312"/>
          <w:bCs/>
          <w:sz w:val="32"/>
          <w:szCs w:val="32"/>
        </w:rPr>
        <w:t>为哲学社会科学繁荣发展开创了新局面，为自治区改革发展稳定作出了积极贡献。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一年来，主要完成了以下工作：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一、坚持用习近平新时代中国特色社会主义思想培根铸魂，强化理论武装，把牢政治方向</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巩固提升党史学习教育成果，深入开展学习贯彻习近平新时代中国特色社会主义思想主题教育，坚持把理论学习贯穿始终，全面落实学习任务，注重从思想上正本清源、固本培元，着力在以学铸魂、以学增智、以学正风、以学促干方面下功夫、求实效。 </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发挥头雁效应“领学”。严格落实“第一议题”制度，健全完善“以党组理论学习中心组为龙头、以党支部为基础、以青年学习小组为补充、以交流研讨为抓手”的常态化学习机制，发挥领导干部示范引领作用，读原著、学原文、悟原理，跟进学习习近平总书记重要讲话和重要指示批示精神，不断提升运用党的创新理论解决实际问题的能力和水平。组织理论学习中心组集体（扩大）学习研讨24次，党组书记带头讲专题党课3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开展专题辅导“促学”。不断丰富理论学习载体形式，在机关开展学习贯彻习近平新时代中国特色社会主义思想专题读书班、集中培训班，在安徽金寨干部学院开展新疆社科联系统社科普及工作能力提升专题培训班；邀请疆内外知名专家学者开展乡村振兴、数字经济等专题辅导。机关事业单位干部培训39人次，在深学细照笃行中提高理论素养，坚定理想信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抓好基层党支部“活学”。积极发挥党支部主体作用，结合创建“五个好”党支部，严格落实基层党支部组织生活首学1小时和每周半天集体学习交流等相关要求，以“三会一课”“党旗映天山”主题党日活动为抓手，抓好集体学习研讨和个人自学。组织机关干部赴自治区美术馆、工人文化宫、新疆家风馆、区保密教育基地开展参观学习活动8次。</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深入实施青年理论学习小组提升工程“导学”。党组书记主持召开青年干部座谈会，成立青年干部写作小组，引导年轻干部多学善思、勤勉担当，努力成为哲学社会科学工作者的好帮手和后备军。青年干部王健撰写的《践行青年使命 绽放青春绚丽之花》在自治区直属机关青年干部学习贯彻主题教育征文活动中荣获三等奖。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二、坚持准确把握新时代社科工作主基调，聚焦中心工作，有效服务大局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（一）强化政治意识，落实自治区党委、政府专项工作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胜利召开自治区社科联第六次代表大会。有序推进自治区社科联第六次代表大会筹备工作，成立工作机构，制定《自治区社会科学界联合会第六次代表大会筹备工作方案》，倒排工期、挂图作战。在自治区党委、自治区党委组织部的指导下，开展自治区社科联第六届委员会主席、副主席、兼职副主席、秘书长候选人、常委候选人报审以及兼职副主席人选提名工作。顺利完成代表推举和委员候选人推选工作，召开自治区社科联五届六次常委会议。11月19—20日，自治区社科联第六次代表大会在乌鲁木齐胜利召开，自治区四套班子及兵团主要领导出席开幕式，自治区党委书记马兴瑞作重要讲话。大会审议通过了自治区社科联第六次代表大会关于第五届委员会工作报告的决议、自治区社科联第六次代表大会关于修改《新疆维吾尔自治区社会科学界联合会章程》的决议。自治区社科联第六届委员会第一次全体会议选举产生新一届领导机构。</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完成政府专项工作。根据自治区人民政府重点工作安排，成功举办2023年（中国）亚欧商品贸易博览会开幕式暨天山论坛。本届商博会是在“一带一路”倡议提出10周年之际，新疆举办的一次重要商贸盛会。吉尔吉斯斯坦总理、哈萨克斯坦副总理兼贸易和一体化部部长出席开幕式并在论坛发表演讲。自治区社科联与中国（深圳）综合开发研究院沟通协调，邀请樊纲、范恒山两位著名经济学家，其中樊纲作为学术演讲嘉宾在会上演讲。建言献策。自治区党委、政府和兵团党委领导出席开幕式，论坛相关成果得到自治区党委、政府充分肯定，并在相关厅局得到转化。中央驻疆和自治区新闻媒体对论坛进行了深入报道。</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（二）强化服务意识，聚焦中心工作提升履职能力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全区哲学社会科学界始终以自治区党委、政府重点工作，人民群众所需所盼为己任，紧扣自治区党委决策部署，针对新疆改革发展稳定的重大理论和现实问题，开展战略性和对策性研究。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深化理论研究阐释。加强对新时代党的治疆方略体系化研究和学理化阐释，依托新时代党的治疆方略理论与实践研究课题，新疆社会科学界学术年会、新疆社会科学界青年学者论坛等平台，组织全疆高校、党校、研究机构围绕“依法治疆、团结稳疆、文化润疆、富民兴疆、长期建疆”五个专题，立项新时代党的治疆方略理论与实践研究课题405项，举办学术论坛30余场次，形成1200余项高质量理论研究成果，报送的《关于加快推进新疆数字经济发展的建议》《从全疆疫情防控看治理能力提升》《关于推进新疆新能源产业全价值链创新发展的建议》等60余篇应用对策型成果要报得到自治区党委主要领导批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推动成果转化应用。联合自治区文旅厅、司法厅、教育厅、农业农村厅等部门和新疆师范大学、新疆农业大学等高校，聚焦“三大攻坚战”、丝绸之路经济带核心区建设、乡村振兴战略、“八大产业集群”等自治区重点工作，组织实施社科专家基层大调研，形成论证扎实的原创性研究成果97篇。，并在自治区相关部门和地（州、市）得到转化运用。加强服务地（州、市）、厅（局）能力和水平，设立地（州、市）、厅（局）合作专项课题，决策咨询研究课题优秀成果不断涌现，“柯柯牙时代价值精神”等一批研究成果得到实践推广。</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三、深入实施文化润疆，有形有感有效铸牢中华民族共同体意识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严格落实《文化润疆工作规划纲要》，充分发挥“联”的作用，深化文化润疆重大理论和现实问题研究，以社科普及为抓手，深入推进基层现代文明风尚培育，有形有感有效推进文化润疆工作。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（一）围绕研究阐释党的二十大精神，确定重大选题，推出研究成果</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设立2023年度新时代党的治疆方略理论与实践研究课题，立项74项，努力推出一批高质量的研究成果。举办第二十届新疆社会科学界学术年会，围绕“有形有感有效铸牢中华民族共同体意识”等主题举办8场学术活动，来自疆内外的83名社科专家作交流发言，3000余名专家学者参与，形成理论研究成果130余篇。参与协办第二届新疆铸牢中华民族共同体意识理论与实践研讨会，征集文稿82篇。举办第二十届新疆社会科学界青年学者论坛，评审出优秀论文72篇。与新疆大学、自治区党委统战部共同主办第三届新时代党的治疆方略与铸牢中华民族共同体意识理论研讨会，中国社科院、清华大学、复旦大学、暨南大学、武汉大学、华东师范大学等铸牢中华民族共同体意识基地的首席专家交流实践经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（二）深入开展历史文化研究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依托新时代党的治疆方略课题，研究如何更好地挖掘利用新疆历史资源等文化润疆问题，组织开展“新疆各民族交往交流交融的考古实物和文化遗存挖掘与运用研究”“海外新疆文物（壁画）挖掘整理研究”“文化润疆评估指标体系构建及运用研究”等15项研究课题。与自治区文旅厅联合设立“文旅融合背景下景区文化内涵挖掘整理研究”等11项合作专项课题，对14个地（州、市）景区文化内涵进行系统挖掘、梳理和整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（三）以社科援疆助力文化润疆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加大“请进来，走出去”力度，加强与其他省区社科联学习交流，先后赴广东省、浙江省社科联学习交流，积极探索“社科赋能文化润疆”项目；与江苏省、广东省社科联，中国（深圳）综合开发研究院洽谈对接，围绕学术活动、学术研究、智库建设、专家资源、期刊建设等方面签署对口合作协议。内蒙古、浙江、福建、广东等省区社科联分别赴新疆调研交流社科援疆工作，为受援地搭建“政产学研”交流互动平台，实现资源共享、优势互补、互利共赢进行交流，“浙阿大讲堂”“鲁喀大讲堂”等社科品牌活动深入人心，有效助力新疆社科水平提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四、优化整合资源，加强社科普及宣传，“大科普”工作格局初步建立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（一）初步形成社科普及大格局</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推动落实《新疆维吾尔自治区社科普及条例》。建立自治区社科普及工作联席会议制度，已初步形成横向由26家自治区社科普及联席会议成员单位组成，纵向由14个地州市及所属县市区、各高等院校、科研院所和社科普及基地参与的社科普及工作格局。2023年新疆社科普及周全区共策划推出各类社科普及活动重点活动300余项，带动各地各单位、社区、村开展各类社科普及活动1.2万场次，活动覆盖人群320.8万人次，掀起社科普及热潮。</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2.充分发挥社科联“联”的作用。社科联重大活动坚持与有关厅局、高校合作，提升活动覆盖面及影响力。与自治区科协签订长期合作框架协议，在社科普及中实现自然科学和社会科学的融合普及。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（二）社科普及人才队伍建设稳步推进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1.建立社科普及人才库。启动社科普及人才库建设工作，初步建立由社科普及专家、社科普及指导员和社科普及宣传员组成的人才库1.8万余人，储备动画、视频、宣讲材料等社科普及资源300余件。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发挥项目带动作用。新疆哲学社科普及人才首次被列为自治区“天山英才”培养计划，采取“人才+项目”的形式予以支持，首批支持哲学社科普及创作人才15名，哲学社会科学研究人才5名。将社科普及成果纳入自治区哲学社会科学奖评选范畴，引导哲学社会科学工作者在服务自治区党委、政府决策和提升公众人文社科素养上更好发挥作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（三）多种形式提升社科普及活力</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1.开拓“云端”社科普及。回应互联网时代群众对线上科普产品的需求，推出“理响新疆 云社科”专题，“二十大微党课”“小普说热词”“故事里的新疆”三个栏目用百姓视角、通俗语言，生动具象的展示习近平新时代中国特色社会主义思想在新疆大地的生动实践。现已刊发49期。新疆社科联推荐的3部作品在全国“人文社科之光”首届社科普及短视频大赛中分获一、二三等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推进体验式互动普及。举办2023新疆动漫节，以作品征集、展映等形式将哲学社会科学与动漫艺术跨界有机融合，动漫市集、Cosplay秀、“漫享”乐园绘画、动画科技博览、动漫互动体验等30余项特色活动吸引2万余人次现场参与，活动短视频全网浏览量达500万人次，7场直播活动总浏览量突破千万人次。各地州市社科联不断推出青少年教育基地研学游、手作、猜谜、涂绘等特色活动，做好青少年思想引导与价值观塑造，不断铸牢中华民族共同体意识。</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创建社科普及品牌项目。打造“庭州哲学社会科学类文化名家”“依麻木镇中华文化大院”等学术专业引领的社科普及项目，有效发挥示范辐射作用。“书写诗词中的新疆”“国粹的魅力”等主题的“中华优秀传统文化进高校”，“新时代讲习所”“中华文化耀和田”等社科普及活动激发全民参与社科普及活动热情。</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（四）有效推动社科普及提质增效。</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加强基层社科联建设。在阿克苏地区举办全区社科普及工作观摩交流会，基层社科联120余人参加培训、观摩，拓展思路、分享工作经验、促进交流合作，组织开展社科普及基地讲解员大赛，在安徽举办社科普及人才队伍专题培训班，在中国美术学院举办动漫人才培训班，助力全区社科普及工作在人才队伍建设、基地创建、科普活动开展等方面再上新台阶。</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优化社科普及基地类型。开展自治区社科普及基地评选、授牌活动，目前全区共建成自治区级社科普及基地131家。在克拉玛依融媒体中心挂牌新疆维吾尔自治区社会科学普及基地（孵化基地），有效发挥孵化基地产品开发、人才培育平台特性，带动社科普及基地优化，更好发挥培养孵化和辐射带动作用。</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自治区社科联一般公共预算财政拨款2824.4万元，其中基本支出1214.12万元，项目支出1610.32万元；以上收入均已全部实施预算绩效管理，占2023年预算资金总额100%，覆盖率达到100%。年内申请追加自治区社科联第六次代表大会部分专项会议经费54万元，《新疆社科论坛》（汉文、维吾尔文、哈萨克文）及《西部蒙古论坛》四种文版刊物缺口经费24.75万元，均已落实到位。</w:t>
      </w:r>
    </w:p>
    <w:p>
      <w:pPr>
        <w:spacing w:line="600" w:lineRule="exact"/>
        <w:ind w:firstLine="964" w:firstLineChars="300"/>
        <w:jc w:val="left"/>
        <w:rPr>
          <w:rFonts w:hint="eastAsia"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（三）</w:t>
      </w:r>
      <w:r>
        <w:rPr>
          <w:rFonts w:ascii="黑体" w:hAnsi="黑体" w:eastAsia="黑体" w:cs="宋体"/>
          <w:b/>
          <w:color w:val="000000" w:themeColor="text1"/>
          <w:sz w:val="32"/>
          <w:szCs w:val="32"/>
          <w:lang w:bidi="ar"/>
          <w14:textFill>
            <w14:solidFill>
              <w14:schemeClr w14:val="tx1"/>
            </w14:solidFill>
          </w14:textFill>
        </w:rPr>
        <w:t>部门单位整体预算规模及安排情况：</w:t>
      </w:r>
    </w:p>
    <w:p>
      <w:pPr>
        <w:spacing w:line="600" w:lineRule="exact"/>
        <w:ind w:firstLine="960" w:firstLineChars="300"/>
        <w:jc w:val="left"/>
        <w:rPr>
          <w:rFonts w:hint="eastAsia" w:ascii="仿宋_GB2312" w:hAnsi="宋体" w:eastAsia="仿宋_GB2312"/>
          <w:bCs/>
          <w:sz w:val="32"/>
          <w:szCs w:val="32"/>
        </w:rPr>
      </w:pPr>
      <w:r>
        <w:rPr>
          <w:rFonts w:hint="eastAsia" w:ascii="仿宋_GB2312" w:hAnsi="宋体" w:eastAsia="仿宋_GB2312"/>
          <w:bCs/>
          <w:sz w:val="32"/>
          <w:szCs w:val="32"/>
        </w:rPr>
        <w:t>一、预算编制过程</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严格按照财政部门预算编制与预算调整的工作要求，在预算编制、分配依据否充分的条件下，切实做好“先定目标再编预算”，确保预算分配结果合理。同时按照财政要求，部门预算及绩效目标在本单位网上公开，广泛接受社会监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2023年我单位年初自治区财政安排预算数为2339.12万元，其他资金0万元。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2.预算年中调整情况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我部门年初批复预算数2339.12万元，年中调整数1153.13万元，调整后全年预算数3492.25万元，预算调整率49.29%。调整预算的主要原因为：1、上年结转结余资金；2、年中项目资金追加。</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3.资金使用主要内容、涉及的范围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部门全年预算数为3437.07万元，其中:上级安排0万元,本级安排3358.97万元，其他资金78.10万元。全年实际支出资金3349.61万元，预算执行率为97.46%。其中:上级安排0万元,本级安排3325.34万元，其他资金24.27万元。资金主要用于：项目资金和单位的基本支出，涉及范围为：项目资金主要用于社会科学普及工作515万元、社会科学学会工作90万元、社科信息化及刊物工作80万元、治疆方略理论与实践研究中心项目440万元。基本支出主要由工资福利支出、商品和服务支出、对个人和家庭的补助支出三部分构成；</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部门单位整体支出管理及使用情况：</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（一）预算管理情况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1.管理制度健全性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自治区社科联为加强预算管理，规范财务行为，已制定《自治区社科联单位预算绩效管理工作实施办法》，《自治区文联内部控制管理手册》等健全完整的各项管理制度，有效保障了我单位高效的履行工作职能，较好的促进事业发展。</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2.资金使用合规性和安全性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部门预算资金使用符合国家法规和财务管理制度；预算资金拨付有完整的审批程序和手续，符合项目预算批复或合同规定的用途；不存在截留、挤占、挪用、虚列支出等情况，确保我部门预算资金规范运行。</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3.预决算信息公开性</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严格按照财政部门预算编制与预算调整的工作要求，在预算编制、分配依据充分的条件下，切实做好“先定目标再编预算”，确保预算分配结果合理。同时按照自治区财政厅预决算信息公开工作要求，部门预算及绩效目标在新疆社科网站进行了双公开。公开内容主要包括：本单位主要职能、机构及人员情况，收入、支出预算安排及决算情况，“三公经费”预算安排及决算情况，政府采购情况，国有资产占用情况，预算绩效情况等信息，主动接受社会各界监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（二）基本支出和使用情况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1.基本支出投入和使用情况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2023年我单位基本支出年初预算安排1214.13万元，全年预算总额    1325.01万元，全年实际支出1325.01万元，资金执行率109%，占总支出的40％，其中：工资福利支出988.16万元、商品和服务支出104.42万元、对个人和家庭的补助100.10万元。</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2.基本支出管理情况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基本支出严格按照财务管理制度执行。人员工资由相关部门逐个审核，按月申报及发放。基本公用经费主要用于支付单位日常的办公费、邮电费、差旅费、维修（护）费、劳务费、车辆运行维护费等。公务用车运行维护费主要用于单位车辆加油、维修及购买车辆保险。</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 xml:space="preserve"> 自治区社科联牢固树立过紧日子思想，坚持勤俭办一切事业工作原则，提倡全体干部职工，勤俭节约，切实降低行政运行成本，确保每年“三公”经费只减不增。2023年“三公”经费预算为15.77万元，实际支出15.77万元，“三公”经费控制率为100%，其中：因公出国（境）费预算为0万元，实际支出0万元，因公出国（境）费预算控制率0%；公务接待费预算为1.99万元，实际支出0.53万元，公务接待费预算控制率100%；公务用车购置费预算为0万元，实际支出0万元，公务用车购置费预算控制率0%；公务用车运行维护费预算为13.78万元，实际支出13.78万元，公务用车运行维护费控制率100%，符合财政部门本年预算要求和相关管理制度要求。</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（二）项目专项支出投入、管理和使用情况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1.项目专项支出投入和使用情况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2023年专项项目年初预算1610.32万元，全年预算总投入2112.05万元，全年实际支出2024.59万元，资金执行率96%，占总支出的60.44％，其中:本级安排财政资金2000.32万元,其他资金24.27万元。2023年本部门单位共有5个项目，其中4个属经常性项目、1个属当年度新增项目。已完成项目5个、未完成项目0个。</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2.项目专项支出管理情况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（一）专项组织情况分析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1.前期准备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我单位成立专项支出绩效评价小组，绩效评价工作职责为负责资料审核、填报等工作。通过与各部室前期沟通，明确评价目标、识别重要评价事项和履行的评价责任。制定文件清单，了解项目基本情况，确认部门整体的绩效指标，梳理部门内部管理制度，确定当年整体绩效评价重点。</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2.组织实施</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根据前期沟通了解评价对象基本情况，编制评价工作方案，经评价组通过实地调研、查阅资料等方式，对数据采集、分析、处理，对项目的决策、管理、绩效进行的综合评价分析，最后归纳整体项目情况与存在问题，撰写部门绩效评价报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（二）专项管理情况分析</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1.项目资金情况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本单位项目预算资金2435.26万元，实际到位1581.60万元，实际支出1505.73万元。到位足额及时，预算编制依据充分，预算编制准确，资金不存在截留、挪用，支付审批合规、不存在用途改变、范围超支和虚列项目支出等情况；本项目严格按照《自治区文联内部控制管理手册》执行项目资金，实行专账核算、逐级审批。认真落实项目资金的使用各项管理制度，确保专款专用，及时拨付到位。</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2.项目实施情况</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项目管理情况：根据《自治区社科联内部控制管理手册》及单位相关项目管理制度的规定，对项目的实施进行监督管理。建立健全项目后续各项监督管理制度，确保项目正常运转，长期发挥效益。</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项目监管情况：不定期对项目进度和质量等进行监督检查，并且组织开展多种形式的监督检查，以加强日常监管为主，自查、随机抽查、专项检查等方式进行。对检查中发现的问题，及时纠正。</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为规范专项资金使用，提高专项资金使用效益，我单位主要采取四项措施。一是制订专项资金管理制度；二是各专项资金建立了专账；三是制订了项目实施方案；四是认真组织项目验收。切实确保专项资金都做到了专款专用。专项资金的使用符合国家法规和财务管理制度，专项资金拨付有完整的审批程序和手续，符合项目预算批复或合同规定的用途，不存在截留、挤占、挪用、虚列支出等情况。</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部门单位整体支出绩效分析：</w:t>
      </w:r>
    </w:p>
    <w:p>
      <w:pPr>
        <w:spacing w:line="600" w:lineRule="exact"/>
        <w:ind w:firstLine="800" w:firstLineChars="250"/>
        <w:jc w:val="left"/>
        <w:rPr>
          <w:rFonts w:ascii="仿宋_GB2312" w:hAnsi="宋体" w:eastAsia="仿宋_GB2312"/>
          <w:b/>
          <w:sz w:val="32"/>
          <w:szCs w:val="32"/>
        </w:rPr>
      </w:pPr>
      <w:r>
        <w:rPr>
          <w:rFonts w:hint="eastAsia" w:ascii="黑体" w:hAnsi="黑体" w:eastAsia="黑体" w:cs="宋体"/>
          <w:bCs/>
          <w:color w:val="333333"/>
          <w:sz w:val="32"/>
          <w:szCs w:val="32"/>
          <w:lang w:bidi="ar"/>
        </w:rPr>
        <w:t xml:space="preserve"> </w:t>
      </w:r>
      <w:r>
        <w:rPr>
          <w:rFonts w:hint="eastAsia" w:ascii="仿宋_GB2312" w:hAnsi="宋体" w:eastAsia="仿宋_GB2312"/>
          <w:bCs/>
          <w:sz w:val="32"/>
          <w:szCs w:val="32"/>
        </w:rPr>
        <w:t>部门单位整体支出自评表，共设置一级指标1个，二级指标2个，三级指标3个。</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数量指标：社科普及活动项，预期目标值大于13项，实际完成13项；指标完成率是100%，达到预期目标。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数量指标：《新疆社科论坛》出版期数，预期目标值大于等于20期，实际完成20期；指标完成率是100%，达到预期目标。</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数量指标：预期目标值大于等于20期，实际完成20期；指标完成率是100%，达到预期目标。</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评价结论：</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2023年度部门整体支出绩效自评综合得分90分，评价结果为“优”。</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存在的主要问题及原因分析：</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一是绩效管理理念有待增强。自治区社科联各部门对预算绩效管理评价的认识还需提升，由“要我评价”转化为“我要评价”主动性还不强。</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二是绩效评价质量有待提高。绩效评价结果大多停留在反映情况和问题的层面，预算绩效评价结果的激励约束作用还需要进一步强化，相关绩效成果应用还不够深入，产出绩效实现的支撑材料归集还需补充完整。</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三是财务人员业务能力还需增强。经费使用业务处室工作人员对预算绩效管理政策理解还不充分，对预算绩效管理的重要性认识还不够深入。</w:t>
      </w:r>
    </w:p>
    <w:p>
      <w:pPr>
        <w:numPr>
          <w:ilvl w:val="0"/>
          <w:numId w:val="1"/>
        </w:numPr>
        <w:snapToGrid w:val="0"/>
        <w:spacing w:line="540" w:lineRule="exact"/>
        <w:rPr>
          <w:rFonts w:ascii="黑体" w:hAnsi="黑体" w:eastAsia="黑体" w:cs="宋体"/>
          <w:b/>
          <w:color w:val="000000" w:themeColor="text1"/>
          <w:sz w:val="32"/>
          <w:szCs w:val="32"/>
          <w:lang w:bidi="ar"/>
          <w14:textFill>
            <w14:solidFill>
              <w14:schemeClr w14:val="tx1"/>
            </w14:solidFill>
          </w14:textFill>
        </w:rPr>
      </w:pPr>
      <w:r>
        <w:rPr>
          <w:rFonts w:hint="eastAsia" w:ascii="黑体" w:hAnsi="黑体" w:eastAsia="黑体" w:cs="宋体"/>
          <w:b/>
          <w:color w:val="000000" w:themeColor="text1"/>
          <w:sz w:val="32"/>
          <w:szCs w:val="32"/>
          <w:lang w:bidi="ar"/>
          <w14:textFill>
            <w14:solidFill>
              <w14:schemeClr w14:val="tx1"/>
            </w14:solidFill>
          </w14:textFill>
        </w:rPr>
        <w:t>改进措施和建议：</w:t>
      </w:r>
    </w:p>
    <w:p>
      <w:pPr>
        <w:spacing w:line="600" w:lineRule="exact"/>
        <w:ind w:firstLine="960" w:firstLineChars="300"/>
        <w:jc w:val="left"/>
        <w:rPr>
          <w:rFonts w:ascii="仿宋_GB2312" w:hAnsi="宋体" w:eastAsia="仿宋_GB2312"/>
          <w:bCs/>
          <w:sz w:val="32"/>
          <w:szCs w:val="32"/>
        </w:rPr>
      </w:pPr>
      <w:r>
        <w:rPr>
          <w:rFonts w:hint="eastAsia" w:ascii="仿宋_GB2312" w:hAnsi="宋体" w:eastAsia="仿宋_GB2312"/>
          <w:bCs/>
          <w:sz w:val="32"/>
          <w:szCs w:val="32"/>
        </w:rPr>
        <w:t>一是进一步树立预算意识。把政策和项目全面纳入绩效管理，统筹规划各项工作经费，从数量、质量、时效、成本、效益等方面，科学制定社科普及、课题研究、学术交流、社科评奖、期刊出版、信息化建设、干部培训、基本支出等专项预算，强化项目预算绩效管理评价意识，综合衡量政策和项目预算资金使用效果，使有限的资金最大限度地用到繁荣新疆哲学社会科学事业发展、推进中国式现代化美丽新疆实践上来。</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二是进一步完善预算绩效管理流程。将绩效目标的设置、监控、评价和应用贯穿于政策或项目的全流程管理当中，形成统一的预算管理体系和动态调控体系，确保绩效目标更能够切合实际，实现绩效目标的提升和优化。</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借助第三方专业机构力量，贯彻落实全面预算绩效管理工作，建立全过程预算绩效管理链条，将绩效各个环节紧密贯通。</w:t>
      </w:r>
      <w:r>
        <w:rPr>
          <w:rFonts w:hint="eastAsia" w:ascii="仿宋_GB2312" w:hAnsi="宋体" w:eastAsia="仿宋_GB2312"/>
          <w:bCs/>
          <w:sz w:val="32"/>
          <w:szCs w:val="32"/>
        </w:rPr>
        <w:cr/>
      </w:r>
      <w:r>
        <w:rPr>
          <w:rFonts w:hint="eastAsia" w:ascii="仿宋_GB2312" w:hAnsi="宋体" w:eastAsia="仿宋_GB2312"/>
          <w:bCs/>
          <w:sz w:val="32"/>
          <w:szCs w:val="32"/>
        </w:rPr>
        <w:br w:type="textWrapping"/>
      </w:r>
      <w:r>
        <w:rPr>
          <w:rFonts w:hint="eastAsia" w:ascii="仿宋_GB2312" w:hAnsi="宋体" w:eastAsia="仿宋_GB2312"/>
          <w:bCs/>
          <w:sz w:val="32"/>
          <w:szCs w:val="32"/>
        </w:rPr>
        <w:t>三是进一步加强政策学习掌握。持续加强业务部门和财务管理人员对《中华人民共和国预算法》《关于党政机关厉行节约若干问题的通知》《关于印发〈部门决算管理办法〉的通知》《关于全面实施预算绩效管理的实施意见》等文件制度规定的学习掌握，坚决树牢过紧日子思想，进一步强化财务管理，规范财务工作流程，着力提高财政资源配置效率和使用效益，不折不扣地把全面实施预算绩效管理各项措施落到实处。</w:t>
      </w:r>
    </w:p>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0000000000000000000"/>
    <w:charset w:val="86"/>
    <w:family w:val="script"/>
    <w:pitch w:val="default"/>
    <w:sig w:usb0="00000000" w:usb1="0000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9703BB8"/>
    <w:multiLevelType w:val="multilevel"/>
    <w:tmpl w:val="69703BB8"/>
    <w:lvl w:ilvl="0" w:tentative="0">
      <w:start w:val="1"/>
      <w:numFmt w:val="japaneseCounting"/>
      <w:lvlText w:val="%1、"/>
      <w:lvlJc w:val="left"/>
      <w:pPr>
        <w:ind w:left="1368" w:hanging="720"/>
      </w:pPr>
      <w:rPr>
        <w:rFonts w:hint="default"/>
      </w:rPr>
    </w:lvl>
    <w:lvl w:ilvl="1" w:tentative="0">
      <w:start w:val="1"/>
      <w:numFmt w:val="lowerLetter"/>
      <w:lvlText w:val="%2)"/>
      <w:lvlJc w:val="left"/>
      <w:pPr>
        <w:ind w:left="1488" w:hanging="420"/>
      </w:pPr>
    </w:lvl>
    <w:lvl w:ilvl="2" w:tentative="0">
      <w:start w:val="1"/>
      <w:numFmt w:val="lowerRoman"/>
      <w:lvlText w:val="%3."/>
      <w:lvlJc w:val="right"/>
      <w:pPr>
        <w:ind w:left="1908" w:hanging="420"/>
      </w:pPr>
    </w:lvl>
    <w:lvl w:ilvl="3" w:tentative="0">
      <w:start w:val="1"/>
      <w:numFmt w:val="decimal"/>
      <w:lvlText w:val="%4."/>
      <w:lvlJc w:val="left"/>
      <w:pPr>
        <w:ind w:left="2328" w:hanging="420"/>
      </w:pPr>
    </w:lvl>
    <w:lvl w:ilvl="4" w:tentative="0">
      <w:start w:val="1"/>
      <w:numFmt w:val="lowerLetter"/>
      <w:lvlText w:val="%5)"/>
      <w:lvlJc w:val="left"/>
      <w:pPr>
        <w:ind w:left="2748" w:hanging="420"/>
      </w:pPr>
    </w:lvl>
    <w:lvl w:ilvl="5" w:tentative="0">
      <w:start w:val="1"/>
      <w:numFmt w:val="lowerRoman"/>
      <w:lvlText w:val="%6."/>
      <w:lvlJc w:val="right"/>
      <w:pPr>
        <w:ind w:left="3168" w:hanging="420"/>
      </w:pPr>
    </w:lvl>
    <w:lvl w:ilvl="6" w:tentative="0">
      <w:start w:val="1"/>
      <w:numFmt w:val="decimal"/>
      <w:lvlText w:val="%7."/>
      <w:lvlJc w:val="left"/>
      <w:pPr>
        <w:ind w:left="3588" w:hanging="420"/>
      </w:pPr>
    </w:lvl>
    <w:lvl w:ilvl="7" w:tentative="0">
      <w:start w:val="1"/>
      <w:numFmt w:val="lowerLetter"/>
      <w:lvlText w:val="%8)"/>
      <w:lvlJc w:val="left"/>
      <w:pPr>
        <w:ind w:left="4008" w:hanging="420"/>
      </w:pPr>
    </w:lvl>
    <w:lvl w:ilvl="8" w:tentative="0">
      <w:start w:val="1"/>
      <w:numFmt w:val="lowerRoman"/>
      <w:lvlText w:val="%9."/>
      <w:lvlJc w:val="right"/>
      <w:pPr>
        <w:ind w:left="442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ODAwZmYzMDUwNzhmYmVmMzNlY2I1MjAwNzI2NzY5MDUifQ=="/>
  </w:docVars>
  <w:rsids>
    <w:rsidRoot w:val="00EB3604"/>
    <w:rsid w:val="00021B05"/>
    <w:rsid w:val="000B791B"/>
    <w:rsid w:val="001C7F2C"/>
    <w:rsid w:val="00340E58"/>
    <w:rsid w:val="003E45AA"/>
    <w:rsid w:val="00486CD9"/>
    <w:rsid w:val="00584481"/>
    <w:rsid w:val="00653C1A"/>
    <w:rsid w:val="0072543F"/>
    <w:rsid w:val="007A5D83"/>
    <w:rsid w:val="007A798C"/>
    <w:rsid w:val="007B51CE"/>
    <w:rsid w:val="007D7702"/>
    <w:rsid w:val="007E47F4"/>
    <w:rsid w:val="007F0F7C"/>
    <w:rsid w:val="00892E0B"/>
    <w:rsid w:val="008F0DCE"/>
    <w:rsid w:val="00916058"/>
    <w:rsid w:val="00AB72C1"/>
    <w:rsid w:val="00C10BB4"/>
    <w:rsid w:val="00CE0C6C"/>
    <w:rsid w:val="00DB647F"/>
    <w:rsid w:val="00DC7E33"/>
    <w:rsid w:val="00E40ABD"/>
    <w:rsid w:val="00E8616A"/>
    <w:rsid w:val="00EB3604"/>
    <w:rsid w:val="020B07BA"/>
    <w:rsid w:val="02656D15"/>
    <w:rsid w:val="06696209"/>
    <w:rsid w:val="0D1922F1"/>
    <w:rsid w:val="10DF6E84"/>
    <w:rsid w:val="1438599A"/>
    <w:rsid w:val="200F4073"/>
    <w:rsid w:val="24B86128"/>
    <w:rsid w:val="51C70EA9"/>
    <w:rsid w:val="54F842B6"/>
    <w:rsid w:val="64F5745B"/>
    <w:rsid w:val="64FB30B7"/>
    <w:rsid w:val="656071F2"/>
    <w:rsid w:val="6BF1756B"/>
    <w:rsid w:val="6F5E1AA3"/>
    <w:rsid w:val="7F200B83"/>
    <w:rsid w:val="7F5D585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styleId="6">
    <w:name w:val="Strong"/>
    <w:basedOn w:val="5"/>
    <w:qFormat/>
    <w:uiPriority w:val="0"/>
    <w:rPr>
      <w:b/>
      <w:bCs/>
    </w:rPr>
  </w:style>
  <w:style w:type="character" w:customStyle="1" w:styleId="7">
    <w:name w:val="页眉 字符"/>
    <w:basedOn w:val="5"/>
    <w:link w:val="3"/>
    <w:qFormat/>
    <w:uiPriority w:val="99"/>
    <w:rPr>
      <w:sz w:val="18"/>
      <w:szCs w:val="18"/>
    </w:rPr>
  </w:style>
  <w:style w:type="character" w:customStyle="1" w:styleId="8">
    <w:name w:val="页脚 字符"/>
    <w:basedOn w:val="5"/>
    <w:link w:val="2"/>
    <w:qFormat/>
    <w:uiPriority w:val="99"/>
    <w:rPr>
      <w:sz w:val="18"/>
      <w:szCs w:val="18"/>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20</Pages>
  <Words>8719</Words>
  <Characters>9097</Characters>
  <Lines>2</Lines>
  <Paragraphs>1</Paragraphs>
  <TotalTime>8</TotalTime>
  <ScaleCrop>false</ScaleCrop>
  <LinksUpToDate>false</LinksUpToDate>
  <CharactersWithSpaces>9107</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2020-06-04T05:22:00Z</dcterms:created>
  <dc:creator>hongbing liu</dc:creator>
  <cp:lastModifiedBy>Administrator</cp:lastModifiedBy>
  <dcterms:modified xsi:type="dcterms:W3CDTF">2024-10-14T08:32:17Z</dcterms:modified>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CCB255D7FB774EE5A9041EEDEA6C9D84_13</vt:lpwstr>
  </property>
</Properties>
</file>